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02" w:rsidRDefault="00914E02" w:rsidP="00914E02">
      <w:pPr>
        <w:jc w:val="center"/>
        <w:rPr>
          <w:rFonts w:ascii="Times New Roman" w:hAnsi="Times New Roman" w:cs="Times New Roman"/>
          <w:b/>
          <w:bCs/>
          <w:sz w:val="32"/>
          <w:szCs w:val="32"/>
          <w:shd w:val="clear" w:color="auto" w:fill="FFFFFF"/>
        </w:rPr>
      </w:pPr>
      <w:r w:rsidRPr="00914E02">
        <w:rPr>
          <w:rFonts w:ascii="Times New Roman" w:hAnsi="Times New Roman" w:cs="Times New Roman"/>
          <w:b/>
          <w:bCs/>
          <w:sz w:val="32"/>
          <w:szCs w:val="32"/>
          <w:shd w:val="clear" w:color="auto" w:fill="FFFFFF"/>
        </w:rPr>
        <w:t>Пам'ятка щодо заборон і обмежень для працівників патронатної служби згідно з Законом України «Про запобігання корупції»</w:t>
      </w:r>
    </w:p>
    <w:p w:rsidR="00FD782C" w:rsidRDefault="00FD782C" w:rsidP="00914E02">
      <w:pPr>
        <w:jc w:val="center"/>
        <w:rPr>
          <w:rFonts w:ascii="Times New Roman" w:hAnsi="Times New Roman" w:cs="Times New Roman"/>
          <w:b/>
          <w:bCs/>
          <w:sz w:val="32"/>
          <w:szCs w:val="32"/>
          <w:shd w:val="clear" w:color="auto" w:fill="FFFFFF"/>
        </w:rPr>
      </w:pPr>
      <w:bookmarkStart w:id="0" w:name="_GoBack"/>
      <w:bookmarkEnd w:id="0"/>
    </w:p>
    <w:p w:rsidR="00FD782C" w:rsidRPr="00FD782C" w:rsidRDefault="00FD782C" w:rsidP="00FD782C">
      <w:pPr>
        <w:pStyle w:val="rvps2"/>
        <w:shd w:val="clear" w:color="auto" w:fill="FFFFE2"/>
        <w:spacing w:before="0" w:beforeAutospacing="0" w:after="150" w:afterAutospacing="0"/>
        <w:ind w:firstLine="450"/>
        <w:jc w:val="both"/>
        <w:rPr>
          <w:b/>
          <w:i/>
          <w:color w:val="000000"/>
          <w:sz w:val="28"/>
          <w:szCs w:val="28"/>
          <w:u w:val="single"/>
          <w:shd w:val="clear" w:color="auto" w:fill="FFFFE2"/>
        </w:rPr>
      </w:pPr>
      <w:r w:rsidRPr="00001639">
        <w:rPr>
          <w:b/>
          <w:bCs/>
          <w:i/>
          <w:sz w:val="28"/>
          <w:szCs w:val="28"/>
          <w:shd w:val="clear" w:color="auto" w:fill="FFFFFF"/>
        </w:rPr>
        <w:t>18</w:t>
      </w:r>
      <w:r w:rsidR="00001639">
        <w:rPr>
          <w:b/>
          <w:bCs/>
          <w:i/>
          <w:sz w:val="28"/>
          <w:szCs w:val="28"/>
          <w:shd w:val="clear" w:color="auto" w:fill="FFFFFF"/>
        </w:rPr>
        <w:t xml:space="preserve"> </w:t>
      </w:r>
      <w:r w:rsidR="00E35AE2">
        <w:rPr>
          <w:b/>
          <w:bCs/>
          <w:i/>
          <w:sz w:val="28"/>
          <w:szCs w:val="28"/>
          <w:shd w:val="clear" w:color="auto" w:fill="FFFFFF"/>
        </w:rPr>
        <w:t>жовтня</w:t>
      </w:r>
      <w:r w:rsidRPr="00FD782C">
        <w:rPr>
          <w:b/>
          <w:bCs/>
          <w:i/>
          <w:sz w:val="28"/>
          <w:szCs w:val="28"/>
          <w:shd w:val="clear" w:color="auto" w:fill="FFFFFF"/>
        </w:rPr>
        <w:t xml:space="preserve"> набули чинності зміни до Закону України «Про запобігання корупції», </w:t>
      </w:r>
      <w:r w:rsidRPr="00001639">
        <w:rPr>
          <w:b/>
          <w:i/>
          <w:color w:val="000000"/>
          <w:sz w:val="28"/>
          <w:szCs w:val="28"/>
          <w:shd w:val="clear" w:color="auto" w:fill="FFFFE2"/>
        </w:rPr>
        <w:t xml:space="preserve">додано </w:t>
      </w:r>
      <w:r w:rsidRPr="00FD782C">
        <w:rPr>
          <w:b/>
          <w:i/>
          <w:color w:val="000000"/>
          <w:sz w:val="28"/>
          <w:szCs w:val="28"/>
          <w:shd w:val="clear" w:color="auto" w:fill="FFFFE2"/>
        </w:rPr>
        <w:t xml:space="preserve">до ст. 3 </w:t>
      </w:r>
      <w:r w:rsidRPr="00FD782C">
        <w:rPr>
          <w:b/>
          <w:i/>
          <w:color w:val="000000"/>
          <w:sz w:val="28"/>
          <w:szCs w:val="28"/>
          <w:shd w:val="clear" w:color="auto" w:fill="FFFFFF"/>
        </w:rPr>
        <w:t>Суб’єкти, на яких поширюється дія цього Закону</w:t>
      </w:r>
      <w:r w:rsidR="00001639">
        <w:rPr>
          <w:b/>
          <w:i/>
          <w:color w:val="000000"/>
          <w:sz w:val="28"/>
          <w:szCs w:val="28"/>
          <w:shd w:val="clear" w:color="auto" w:fill="FFFFFF"/>
        </w:rPr>
        <w:t xml:space="preserve"> </w:t>
      </w:r>
      <w:r w:rsidRPr="00001639">
        <w:rPr>
          <w:b/>
          <w:i/>
          <w:color w:val="000000"/>
          <w:sz w:val="28"/>
          <w:szCs w:val="28"/>
          <w:shd w:val="clear" w:color="auto" w:fill="FFFFE2"/>
        </w:rPr>
        <w:t>підпункт</w:t>
      </w:r>
      <w:r w:rsidRPr="00FD782C">
        <w:rPr>
          <w:b/>
          <w:i/>
          <w:color w:val="000000"/>
          <w:sz w:val="28"/>
          <w:szCs w:val="28"/>
          <w:shd w:val="clear" w:color="auto" w:fill="FFFFE2"/>
        </w:rPr>
        <w:t xml:space="preserve"> Керівник Офісу Президента України, його Перший заступник та заступник, </w:t>
      </w:r>
      <w:r w:rsidRPr="00FD782C">
        <w:rPr>
          <w:b/>
          <w:i/>
          <w:color w:val="000000"/>
          <w:sz w:val="28"/>
          <w:szCs w:val="28"/>
          <w:u w:val="single"/>
          <w:shd w:val="clear" w:color="auto" w:fill="FFFFE2"/>
        </w:rPr>
        <w:t>а також особи, які займають посади патронатної служби</w:t>
      </w:r>
      <w:r w:rsidRPr="00FD782C">
        <w:rPr>
          <w:b/>
          <w:i/>
          <w:color w:val="000000"/>
          <w:sz w:val="28"/>
          <w:szCs w:val="28"/>
          <w:shd w:val="clear" w:color="auto" w:fill="FFFFE2"/>
        </w:rPr>
        <w:t>, визначені </w:t>
      </w:r>
      <w:r w:rsidRPr="00FD782C">
        <w:rPr>
          <w:b/>
          <w:i/>
          <w:sz w:val="28"/>
          <w:szCs w:val="28"/>
          <w:shd w:val="clear" w:color="auto" w:fill="FFFFE2"/>
        </w:rPr>
        <w:t>Законом України</w:t>
      </w:r>
      <w:r w:rsidRPr="00FD782C">
        <w:rPr>
          <w:b/>
          <w:i/>
          <w:color w:val="000000"/>
          <w:sz w:val="28"/>
          <w:szCs w:val="28"/>
          <w:shd w:val="clear" w:color="auto" w:fill="FFFFE2"/>
        </w:rPr>
        <w:t> "Про державну службу", крім осіб, які виконують свої обов’язки на громадських засадах, помічники суддів"</w:t>
      </w:r>
    </w:p>
    <w:p w:rsidR="00914E02" w:rsidRPr="00FD782C" w:rsidRDefault="00914E02" w:rsidP="00FD782C">
      <w:pPr>
        <w:jc w:val="center"/>
        <w:rPr>
          <w:rFonts w:ascii="Times New Roman" w:hAnsi="Times New Roman" w:cs="Times New Roman"/>
          <w:b/>
          <w:sz w:val="28"/>
          <w:szCs w:val="28"/>
        </w:rPr>
      </w:pPr>
    </w:p>
    <w:p w:rsidR="00914E02" w:rsidRDefault="00914E02" w:rsidP="00914E02">
      <w:pPr>
        <w:jc w:val="center"/>
        <w:rPr>
          <w:rFonts w:ascii="Times New Roman" w:hAnsi="Times New Roman" w:cs="Times New Roman"/>
          <w:sz w:val="28"/>
          <w:szCs w:val="28"/>
        </w:rPr>
      </w:pPr>
      <w:r w:rsidRPr="00914E02">
        <w:rPr>
          <w:rFonts w:ascii="Times New Roman" w:hAnsi="Times New Roman" w:cs="Times New Roman"/>
          <w:sz w:val="28"/>
          <w:szCs w:val="28"/>
        </w:rPr>
        <w:t>1</w:t>
      </w:r>
      <w:r w:rsidRPr="00914E02">
        <w:rPr>
          <w:rFonts w:ascii="Times New Roman" w:hAnsi="Times New Roman" w:cs="Times New Roman"/>
          <w:b/>
          <w:sz w:val="28"/>
          <w:szCs w:val="28"/>
        </w:rPr>
        <w:t>. Обмеження щодо використання службових повноважень чи сво</w:t>
      </w:r>
      <w:r>
        <w:rPr>
          <w:rFonts w:ascii="Times New Roman" w:hAnsi="Times New Roman" w:cs="Times New Roman"/>
          <w:b/>
          <w:sz w:val="28"/>
          <w:szCs w:val="28"/>
        </w:rPr>
        <w:t>го становища (стаття 22 Закону).</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Особам, зазначеним у частині першій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 </w:t>
      </w:r>
    </w:p>
    <w:p w:rsidR="00914E02" w:rsidRPr="00914E02" w:rsidRDefault="00914E02" w:rsidP="00914E02">
      <w:pPr>
        <w:jc w:val="center"/>
        <w:rPr>
          <w:rFonts w:ascii="Times New Roman" w:hAnsi="Times New Roman" w:cs="Times New Roman"/>
          <w:b/>
          <w:sz w:val="28"/>
          <w:szCs w:val="28"/>
        </w:rPr>
      </w:pPr>
      <w:r w:rsidRPr="00914E02">
        <w:rPr>
          <w:rFonts w:ascii="Times New Roman" w:hAnsi="Times New Roman" w:cs="Times New Roman"/>
          <w:b/>
          <w:sz w:val="28"/>
          <w:szCs w:val="28"/>
        </w:rPr>
        <w:t>2. Обмеження щодо одержання подарунків (стаття 23 Закону)</w:t>
      </w:r>
    </w:p>
    <w:p w:rsidR="003D4931" w:rsidRDefault="00914E02" w:rsidP="00914E02">
      <w:pPr>
        <w:jc w:val="both"/>
        <w:rPr>
          <w:rFonts w:ascii="Times New Roman" w:hAnsi="Times New Roman" w:cs="Times New Roman"/>
          <w:sz w:val="28"/>
          <w:szCs w:val="28"/>
        </w:rPr>
      </w:pPr>
      <w:r w:rsidRPr="003D4931">
        <w:rPr>
          <w:rFonts w:ascii="Times New Roman" w:hAnsi="Times New Roman" w:cs="Times New Roman"/>
          <w:sz w:val="28"/>
          <w:szCs w:val="28"/>
        </w:rPr>
        <w:t>1</w:t>
      </w:r>
      <w:r>
        <w:rPr>
          <w:rFonts w:ascii="Times New Roman" w:hAnsi="Times New Roman" w:cs="Times New Roman"/>
          <w:sz w:val="28"/>
          <w:szCs w:val="28"/>
        </w:rPr>
        <w:t>.</w:t>
      </w:r>
      <w:r w:rsidRPr="00914E02">
        <w:rPr>
          <w:rFonts w:ascii="Times New Roman" w:hAnsi="Times New Roman" w:cs="Times New Roman"/>
          <w:sz w:val="28"/>
          <w:szCs w:val="28"/>
        </w:rPr>
        <w:t xml:space="preserve">Особам, зазначеним у пунктах 1, 2 частини першої статті 3 цього Закону, 6 </w:t>
      </w:r>
      <w:r w:rsidRPr="003D4931">
        <w:rPr>
          <w:rFonts w:ascii="Times New Roman" w:hAnsi="Times New Roman" w:cs="Times New Roman"/>
          <w:b/>
          <w:sz w:val="28"/>
          <w:szCs w:val="28"/>
        </w:rPr>
        <w:t>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r w:rsidRPr="00914E02">
        <w:rPr>
          <w:rFonts w:ascii="Times New Roman" w:hAnsi="Times New Roman" w:cs="Times New Roman"/>
          <w:sz w:val="28"/>
          <w:szCs w:val="28"/>
        </w:rPr>
        <w:t xml:space="preserve">: </w:t>
      </w:r>
    </w:p>
    <w:p w:rsidR="003D4931"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1) у зв’язку із здійсненням такими особами діяльності, пов’язаної із виконанням функцій держави або місцевого самоврядування;</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2) якщо особа, яка дарує, перебуває </w:t>
      </w:r>
      <w:r>
        <w:rPr>
          <w:rFonts w:ascii="Times New Roman" w:hAnsi="Times New Roman" w:cs="Times New Roman"/>
          <w:sz w:val="28"/>
          <w:szCs w:val="28"/>
        </w:rPr>
        <w:t xml:space="preserve">в підпорядкуванні такої особи. </w:t>
      </w:r>
    </w:p>
    <w:p w:rsidR="00914E02" w:rsidRDefault="00914E02" w:rsidP="00914E02">
      <w:pPr>
        <w:jc w:val="both"/>
        <w:rPr>
          <w:rFonts w:ascii="Times New Roman" w:hAnsi="Times New Roman" w:cs="Times New Roman"/>
          <w:sz w:val="28"/>
          <w:szCs w:val="28"/>
        </w:rPr>
      </w:pPr>
      <w:r w:rsidRPr="003D4931">
        <w:rPr>
          <w:rFonts w:ascii="Times New Roman" w:hAnsi="Times New Roman" w:cs="Times New Roman"/>
          <w:sz w:val="28"/>
          <w:szCs w:val="28"/>
        </w:rPr>
        <w:t>2</w:t>
      </w:r>
      <w:r>
        <w:rPr>
          <w:rFonts w:ascii="Times New Roman" w:hAnsi="Times New Roman" w:cs="Times New Roman"/>
          <w:sz w:val="28"/>
          <w:szCs w:val="28"/>
        </w:rPr>
        <w:t>.</w:t>
      </w:r>
      <w:r w:rsidRPr="00914E02">
        <w:rPr>
          <w:rFonts w:ascii="Times New Roman" w:hAnsi="Times New Roman" w:cs="Times New Roman"/>
          <w:sz w:val="28"/>
          <w:szCs w:val="28"/>
        </w:rPr>
        <w:t xml:space="preserve">Особи, зазначені у пунктах 1, 2 частини першої статті 3 цього Закону, </w:t>
      </w:r>
      <w:r w:rsidRPr="003D4931">
        <w:rPr>
          <w:rFonts w:ascii="Times New Roman" w:hAnsi="Times New Roman" w:cs="Times New Roman"/>
          <w:b/>
          <w:sz w:val="28"/>
          <w:szCs w:val="28"/>
        </w:rPr>
        <w:t>можуть приймати подарунки</w:t>
      </w:r>
      <w:r w:rsidRPr="00914E02">
        <w:rPr>
          <w:rFonts w:ascii="Times New Roman" w:hAnsi="Times New Roman" w:cs="Times New Roman"/>
          <w:sz w:val="28"/>
          <w:szCs w:val="28"/>
        </w:rPr>
        <w:t xml:space="preserve">,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 </w:t>
      </w:r>
    </w:p>
    <w:p w:rsidR="00914E02" w:rsidRPr="00914E02" w:rsidRDefault="00914E02" w:rsidP="00914E02">
      <w:pPr>
        <w:jc w:val="both"/>
        <w:rPr>
          <w:rFonts w:ascii="Times New Roman" w:hAnsi="Times New Roman" w:cs="Times New Roman"/>
          <w:sz w:val="28"/>
          <w:szCs w:val="28"/>
          <w:u w:val="single"/>
        </w:rPr>
      </w:pPr>
      <w:r w:rsidRPr="00914E02">
        <w:rPr>
          <w:rFonts w:ascii="Times New Roman" w:hAnsi="Times New Roman" w:cs="Times New Roman"/>
          <w:sz w:val="28"/>
          <w:szCs w:val="28"/>
          <w:u w:val="single"/>
        </w:rPr>
        <w:t xml:space="preserve">Передбачене цією частиною обмеження щодо вартості подарунків не поширюється на подарунки, які: 1) даруються близькими особами; 2) одержуються як загальнодоступні знижки на товари, послуги, загальнодоступні виграші, призи, премії, бонуси. </w:t>
      </w:r>
    </w:p>
    <w:p w:rsidR="00914E02" w:rsidRDefault="00914E02" w:rsidP="00914E02">
      <w:pPr>
        <w:jc w:val="both"/>
        <w:rPr>
          <w:rFonts w:ascii="Times New Roman" w:hAnsi="Times New Roman" w:cs="Times New Roman"/>
          <w:sz w:val="28"/>
          <w:szCs w:val="28"/>
        </w:rPr>
      </w:pPr>
      <w:r w:rsidRPr="003D4931">
        <w:rPr>
          <w:rFonts w:ascii="Times New Roman" w:hAnsi="Times New Roman" w:cs="Times New Roman"/>
          <w:sz w:val="28"/>
          <w:szCs w:val="28"/>
        </w:rPr>
        <w:lastRenderedPageBreak/>
        <w:t>3</w:t>
      </w:r>
      <w:r w:rsidRPr="00914E02">
        <w:rPr>
          <w:rFonts w:ascii="Times New Roman" w:hAnsi="Times New Roman" w:cs="Times New Roman"/>
          <w:b/>
          <w:sz w:val="28"/>
          <w:szCs w:val="28"/>
        </w:rPr>
        <w:t>.</w:t>
      </w:r>
      <w:r w:rsidRPr="00914E02">
        <w:rPr>
          <w:rFonts w:ascii="Times New Roman" w:hAnsi="Times New Roman" w:cs="Times New Roman"/>
          <w:sz w:val="28"/>
          <w:szCs w:val="28"/>
        </w:rPr>
        <w:t xml:space="preserve"> Подарунки, одержані особами, зазначеними у пунктах 1, 2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порядку, визначеному Кабінетом Міністрів України. </w:t>
      </w:r>
    </w:p>
    <w:p w:rsidR="00914E02" w:rsidRDefault="00914E02" w:rsidP="00914E02">
      <w:pPr>
        <w:jc w:val="both"/>
        <w:rPr>
          <w:rFonts w:ascii="Times New Roman" w:hAnsi="Times New Roman" w:cs="Times New Roman"/>
          <w:sz w:val="28"/>
          <w:szCs w:val="28"/>
        </w:rPr>
      </w:pPr>
      <w:r w:rsidRPr="003D4931">
        <w:rPr>
          <w:rFonts w:ascii="Times New Roman" w:hAnsi="Times New Roman" w:cs="Times New Roman"/>
          <w:sz w:val="28"/>
          <w:szCs w:val="28"/>
        </w:rPr>
        <w:t>4</w:t>
      </w:r>
      <w:r w:rsidRPr="00914E02">
        <w:rPr>
          <w:rFonts w:ascii="Times New Roman" w:hAnsi="Times New Roman" w:cs="Times New Roman"/>
          <w:sz w:val="28"/>
          <w:szCs w:val="28"/>
        </w:rPr>
        <w:t>. 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статті 67 цього Закону.</w:t>
      </w:r>
    </w:p>
    <w:p w:rsidR="00914E02" w:rsidRPr="00866AE6" w:rsidRDefault="00914E02" w:rsidP="00914E02">
      <w:pPr>
        <w:jc w:val="center"/>
        <w:rPr>
          <w:rFonts w:ascii="Times New Roman" w:hAnsi="Times New Roman" w:cs="Times New Roman"/>
          <w:b/>
          <w:sz w:val="28"/>
          <w:szCs w:val="28"/>
        </w:rPr>
      </w:pPr>
      <w:r w:rsidRPr="00914E02">
        <w:rPr>
          <w:rFonts w:ascii="Times New Roman" w:hAnsi="Times New Roman" w:cs="Times New Roman"/>
          <w:sz w:val="28"/>
          <w:szCs w:val="28"/>
        </w:rPr>
        <w:t>3</w:t>
      </w:r>
      <w:r w:rsidRPr="00866AE6">
        <w:rPr>
          <w:rFonts w:ascii="Times New Roman" w:hAnsi="Times New Roman" w:cs="Times New Roman"/>
          <w:b/>
          <w:sz w:val="28"/>
          <w:szCs w:val="28"/>
        </w:rPr>
        <w:t>. Запобігання одержанню неправомірної вигоди або подарунка та поводження з ними (стаття 24 Закону)</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w:t>
      </w:r>
      <w:r w:rsidRPr="00866AE6">
        <w:rPr>
          <w:rFonts w:ascii="Times New Roman" w:hAnsi="Times New Roman" w:cs="Times New Roman"/>
          <w:b/>
          <w:sz w:val="28"/>
          <w:szCs w:val="28"/>
        </w:rPr>
        <w:t>зобов’язані невідкладно вжити таких заходів</w:t>
      </w:r>
      <w:r w:rsidRPr="00914E02">
        <w:rPr>
          <w:rFonts w:ascii="Times New Roman" w:hAnsi="Times New Roman" w:cs="Times New Roman"/>
          <w:sz w:val="28"/>
          <w:szCs w:val="28"/>
        </w:rPr>
        <w:t xml:space="preserve">: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1) відмовитися від пропозиції;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2) за можливості ідентифікувати особу, яка зробила пропозицію;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3) залучити свідків, якщо це можливо, у тому числі з числа співробітників;</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7 безпосереднього керівника або керівника відповідного органу, підприємства, установи, організації. 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 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 </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lastRenderedPageBreak/>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4. Положення цієї статті не поширюються на випадки одержання подарунка за наявності обставин, передбачених частиною другою статті 23 цього Закону.</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5. У випадку наявності в особи, зазначеної у пунктах 1, 2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територіального органу Національного агентства, який надає відповідне роз’яснення. </w:t>
      </w:r>
    </w:p>
    <w:p w:rsidR="00914E02" w:rsidRPr="00914E02" w:rsidRDefault="00914E02" w:rsidP="00914E02">
      <w:pPr>
        <w:jc w:val="center"/>
        <w:rPr>
          <w:rFonts w:ascii="Times New Roman" w:hAnsi="Times New Roman" w:cs="Times New Roman"/>
          <w:b/>
          <w:sz w:val="28"/>
          <w:szCs w:val="28"/>
        </w:rPr>
      </w:pPr>
      <w:r w:rsidRPr="00914E02">
        <w:rPr>
          <w:rFonts w:ascii="Times New Roman" w:hAnsi="Times New Roman" w:cs="Times New Roman"/>
          <w:b/>
          <w:sz w:val="28"/>
          <w:szCs w:val="28"/>
        </w:rPr>
        <w:t>4. Обмеження щодо сумісництва та суміщення з іншими видами діяльності (стаття 25 Закону).</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1. Особам, зазначеним у пункті 1 частини першої статті 3 цього Закону, </w:t>
      </w:r>
      <w:r w:rsidRPr="00866AE6">
        <w:rPr>
          <w:rFonts w:ascii="Times New Roman" w:hAnsi="Times New Roman" w:cs="Times New Roman"/>
          <w:b/>
          <w:sz w:val="28"/>
          <w:szCs w:val="28"/>
        </w:rPr>
        <w:t>забороняється:</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 </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Конституцією або законами України. </w:t>
      </w:r>
    </w:p>
    <w:p w:rsid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2.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w:t>
      </w:r>
    </w:p>
    <w:p w:rsidR="00914E02" w:rsidRPr="00914E02" w:rsidRDefault="00914E02" w:rsidP="00914E02">
      <w:pPr>
        <w:jc w:val="center"/>
        <w:rPr>
          <w:rFonts w:ascii="Times New Roman" w:hAnsi="Times New Roman" w:cs="Times New Roman"/>
          <w:b/>
          <w:sz w:val="28"/>
          <w:szCs w:val="28"/>
        </w:rPr>
      </w:pPr>
      <w:r w:rsidRPr="00914E02">
        <w:rPr>
          <w:rFonts w:ascii="Times New Roman" w:hAnsi="Times New Roman" w:cs="Times New Roman"/>
          <w:b/>
          <w:sz w:val="28"/>
          <w:szCs w:val="28"/>
        </w:rPr>
        <w:t>5. Обмеження після припинення діяльності посадової особи (стаття 26 Закону)</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1. Особам, уповноваженим на виконання функцій держави або місцевого самоврядування, зазначеним у пункті 1 частини першої статті 3 цього Закону, які звільнилися або іншим чином припинили діяльність, пов’язану з виконанням функцій держави або місцевого </w:t>
      </w:r>
      <w:r w:rsidR="00866AE6">
        <w:rPr>
          <w:rFonts w:ascii="Times New Roman" w:hAnsi="Times New Roman" w:cs="Times New Roman"/>
          <w:sz w:val="28"/>
          <w:szCs w:val="28"/>
        </w:rPr>
        <w:t xml:space="preserve">самоврядування, </w:t>
      </w:r>
      <w:r w:rsidR="00866AE6" w:rsidRPr="00866AE6">
        <w:rPr>
          <w:rFonts w:ascii="Times New Roman" w:hAnsi="Times New Roman" w:cs="Times New Roman"/>
          <w:b/>
          <w:sz w:val="28"/>
          <w:szCs w:val="28"/>
        </w:rPr>
        <w:t>забороняється</w:t>
      </w:r>
      <w:r w:rsidR="00866AE6" w:rsidRPr="00866AE6">
        <w:rPr>
          <w:rFonts w:ascii="Times New Roman" w:hAnsi="Times New Roman" w:cs="Times New Roman"/>
          <w:sz w:val="28"/>
          <w:szCs w:val="28"/>
        </w:rPr>
        <w:t>:</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w:t>
      </w:r>
      <w:r w:rsidRPr="00914E02">
        <w:rPr>
          <w:rFonts w:ascii="Times New Roman" w:hAnsi="Times New Roman" w:cs="Times New Roman"/>
          <w:sz w:val="28"/>
          <w:szCs w:val="28"/>
        </w:rPr>
        <w:lastRenderedPageBreak/>
        <w:t xml:space="preserve">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 Правочини у сфері підприємницької діяльності, вчинені з порушенням вимог пункту 1 частини першої цієї статті, можуть бути визнані недійсними. 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866AE6" w:rsidRPr="00866AE6" w:rsidRDefault="00866AE6" w:rsidP="00866AE6">
      <w:pPr>
        <w:jc w:val="center"/>
        <w:rPr>
          <w:rFonts w:ascii="Times New Roman" w:hAnsi="Times New Roman" w:cs="Times New Roman"/>
          <w:b/>
          <w:sz w:val="28"/>
          <w:szCs w:val="28"/>
        </w:rPr>
      </w:pPr>
      <w:r>
        <w:rPr>
          <w:rFonts w:ascii="Times New Roman" w:hAnsi="Times New Roman" w:cs="Times New Roman"/>
          <w:b/>
          <w:sz w:val="28"/>
          <w:szCs w:val="28"/>
        </w:rPr>
        <w:t>6</w:t>
      </w:r>
      <w:r w:rsidRPr="00866AE6">
        <w:rPr>
          <w:rFonts w:ascii="Times New Roman" w:hAnsi="Times New Roman" w:cs="Times New Roman"/>
          <w:b/>
          <w:sz w:val="28"/>
          <w:szCs w:val="28"/>
        </w:rPr>
        <w:t>. Зобов’язання у зв’язку із наявністю в особи підприємств чи корпоративних прав (стаття 36 Закону)</w:t>
      </w:r>
    </w:p>
    <w:p w:rsidR="00866AE6" w:rsidRDefault="00866AE6" w:rsidP="00914E02">
      <w:pPr>
        <w:jc w:val="both"/>
        <w:rPr>
          <w:rFonts w:ascii="Times New Roman" w:hAnsi="Times New Roman" w:cs="Times New Roman"/>
          <w:sz w:val="28"/>
          <w:szCs w:val="28"/>
        </w:rPr>
      </w:pPr>
      <w:r>
        <w:rPr>
          <w:rFonts w:ascii="Times New Roman" w:hAnsi="Times New Roman" w:cs="Times New Roman"/>
          <w:sz w:val="28"/>
          <w:szCs w:val="28"/>
        </w:rPr>
        <w:t>1.</w:t>
      </w:r>
      <w:r w:rsidR="00914E02" w:rsidRPr="00914E02">
        <w:rPr>
          <w:rFonts w:ascii="Times New Roman" w:hAnsi="Times New Roman" w:cs="Times New Roman"/>
          <w:sz w:val="28"/>
          <w:szCs w:val="28"/>
        </w:rPr>
        <w:t xml:space="preserve">Особи, зазначені у пункті 1, підпункті "а" пункту 2 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 У такому випадку особам, зазначеним у пункті 1, підпункті "а"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 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 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w:t>
      </w:r>
      <w:r w:rsidRPr="00914E02">
        <w:rPr>
          <w:rFonts w:ascii="Times New Roman" w:hAnsi="Times New Roman" w:cs="Times New Roman"/>
          <w:sz w:val="28"/>
          <w:szCs w:val="28"/>
        </w:rPr>
        <w:lastRenderedPageBreak/>
        <w:t xml:space="preserve">паперів та фондового ринку на провадження діяльності з управління цінними паперами; 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 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 </w:t>
      </w:r>
    </w:p>
    <w:p w:rsidR="00866AE6"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4. Особи, зазначені у пункті 1, підпункті "а" пункту 2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805AED" w:rsidRPr="00914E02" w:rsidRDefault="00914E02" w:rsidP="00914E02">
      <w:pPr>
        <w:jc w:val="both"/>
        <w:rPr>
          <w:rFonts w:ascii="Times New Roman" w:hAnsi="Times New Roman" w:cs="Times New Roman"/>
          <w:sz w:val="28"/>
          <w:szCs w:val="28"/>
        </w:rPr>
      </w:pPr>
      <w:r w:rsidRPr="00914E02">
        <w:rPr>
          <w:rFonts w:ascii="Times New Roman" w:hAnsi="Times New Roman" w:cs="Times New Roman"/>
          <w:sz w:val="28"/>
          <w:szCs w:val="28"/>
        </w:rPr>
        <w:t xml:space="preserve"> 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w:t>
      </w:r>
      <w:r w:rsidR="00866AE6">
        <w:rPr>
          <w:rFonts w:ascii="Times New Roman" w:hAnsi="Times New Roman" w:cs="Times New Roman"/>
          <w:sz w:val="28"/>
          <w:szCs w:val="28"/>
        </w:rPr>
        <w:t>відченої копії укладеного договір.</w:t>
      </w:r>
    </w:p>
    <w:sectPr w:rsidR="00805AED" w:rsidRPr="00914E02" w:rsidSect="00C3615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E02"/>
    <w:rsid w:val="00001639"/>
    <w:rsid w:val="003D4931"/>
    <w:rsid w:val="00805AED"/>
    <w:rsid w:val="00866AE6"/>
    <w:rsid w:val="00914E02"/>
    <w:rsid w:val="00C36158"/>
    <w:rsid w:val="00E35AE2"/>
    <w:rsid w:val="00FD782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E02"/>
    <w:pPr>
      <w:ind w:left="720"/>
      <w:contextualSpacing/>
    </w:pPr>
  </w:style>
  <w:style w:type="paragraph" w:customStyle="1" w:styleId="rvps2">
    <w:name w:val="rvps2"/>
    <w:basedOn w:val="a"/>
    <w:rsid w:val="00FD782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7142</Words>
  <Characters>4071</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Loda0001</dc:creator>
  <cp:lastModifiedBy>Lawyer</cp:lastModifiedBy>
  <cp:revision>2</cp:revision>
  <dcterms:created xsi:type="dcterms:W3CDTF">2024-07-19T07:08:00Z</dcterms:created>
  <dcterms:modified xsi:type="dcterms:W3CDTF">2024-07-19T07:08:00Z</dcterms:modified>
</cp:coreProperties>
</file>